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firstLineChars="200"/>
        <w:jc w:val="both"/>
        <w:rPr>
          <w:rFonts w:ascii="华文中宋" w:hAnsi="华文中宋" w:eastAsia="华文中宋"/>
          <w:color w:val="FF0000"/>
          <w:sz w:val="52"/>
          <w:szCs w:val="52"/>
        </w:rPr>
      </w:pPr>
      <w:bookmarkStart w:id="0" w:name="_Toc197966477"/>
      <w:r>
        <w:rPr>
          <w:rFonts w:hint="eastAsia" w:ascii="华文中宋" w:hAnsi="华文中宋" w:eastAsia="华文中宋"/>
          <w:color w:val="FF0000"/>
          <w:sz w:val="52"/>
          <w:szCs w:val="52"/>
        </w:rPr>
        <w:t>中 国 音 乐 学 院 文 件</w:t>
      </w:r>
    </w:p>
    <w:p>
      <w:pPr>
        <w:jc w:val="center"/>
        <w:rPr>
          <w:rFonts w:ascii="仿宋_GB2312" w:hAnsi="仿宋" w:eastAsia="仿宋_GB2312"/>
          <w:sz w:val="28"/>
          <w:szCs w:val="28"/>
        </w:rPr>
      </w:pPr>
    </w:p>
    <w:p>
      <w:pPr>
        <w:ind w:firstLine="2700" w:firstLineChars="900"/>
        <w:jc w:val="both"/>
        <w:rPr>
          <w:rFonts w:ascii="仿宋_GB2312" w:hAnsi="仿宋" w:eastAsia="仿宋_GB2312"/>
          <w:color w:val="FF0000"/>
          <w:sz w:val="30"/>
          <w:szCs w:val="30"/>
        </w:rPr>
      </w:pPr>
      <w:r>
        <w:rPr>
          <w:rFonts w:hint="eastAsia" w:ascii="仿宋_GB2312" w:hAnsi="仿宋" w:eastAsia="仿宋_GB2312"/>
          <w:sz w:val="30"/>
          <w:szCs w:val="30"/>
        </w:rPr>
        <w:t>国音发</w:t>
      </w:r>
      <w:r>
        <w:rPr>
          <w:rFonts w:hint="eastAsia" w:ascii="仿宋_GB2312" w:hAnsi="Arial Unicode MS" w:eastAsia="仿宋_GB2312" w:cs="Arial Unicode MS"/>
          <w:sz w:val="30"/>
          <w:szCs w:val="30"/>
        </w:rPr>
        <w:t>〔</w:t>
      </w:r>
      <w:r>
        <w:rPr>
          <w:rFonts w:hint="eastAsia" w:ascii="仿宋_GB2312" w:hAnsi="仿宋" w:eastAsia="仿宋_GB2312"/>
          <w:sz w:val="30"/>
          <w:szCs w:val="30"/>
        </w:rPr>
        <w:t>2020</w:t>
      </w:r>
      <w:r>
        <w:rPr>
          <w:rFonts w:hint="eastAsia" w:ascii="仿宋_GB2312" w:hAnsi="Arial Unicode MS" w:eastAsia="仿宋_GB2312" w:cs="Arial Unicode MS"/>
          <w:sz w:val="30"/>
          <w:szCs w:val="30"/>
        </w:rPr>
        <w:t>〕</w:t>
      </w:r>
      <w:r>
        <w:rPr>
          <w:rFonts w:hint="eastAsia" w:ascii="仿宋_GB2312" w:hAnsi="Arial Unicode MS" w:eastAsia="仿宋_GB2312" w:cs="Arial Unicode MS"/>
          <w:sz w:val="30"/>
          <w:szCs w:val="30"/>
          <w:lang w:val="en-US" w:eastAsia="zh-CN"/>
        </w:rPr>
        <w:t>28</w:t>
      </w:r>
      <w:r>
        <w:rPr>
          <w:rFonts w:hint="eastAsia" w:ascii="仿宋_GB2312" w:hAnsi="仿宋" w:eastAsia="仿宋_GB2312"/>
          <w:sz w:val="30"/>
          <w:szCs w:val="30"/>
        </w:rPr>
        <w:t>号</w:t>
      </w:r>
    </w:p>
    <w:p>
      <w:pPr>
        <w:spacing w:line="520" w:lineRule="exact"/>
        <w:ind w:firstLine="420" w:firstLineChars="200"/>
      </w:pPr>
      <w:r>
        <mc:AlternateContent>
          <mc:Choice Requires="wps">
            <w:drawing>
              <wp:anchor distT="0" distB="0" distL="114300" distR="114300" simplePos="0" relativeHeight="251659264" behindDoc="0" locked="0" layoutInCell="1" allowOverlap="1">
                <wp:simplePos x="0" y="0"/>
                <wp:positionH relativeFrom="column">
                  <wp:posOffset>-248285</wp:posOffset>
                </wp:positionH>
                <wp:positionV relativeFrom="paragraph">
                  <wp:posOffset>2540</wp:posOffset>
                </wp:positionV>
                <wp:extent cx="5803265" cy="2540"/>
                <wp:effectExtent l="0" t="19050" r="6985" b="3556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03265" cy="254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19.55pt;margin-top:0.2pt;height:0.2pt;width:456.95pt;z-index:251659264;mso-width-relative:page;mso-height-relative:page;" filled="f" stroked="t" coordsize="21600,21600" o:gfxdata="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IHs0dkAAAAFAQAADwAAAAAAAAABACAAAAAiAAAAZHJzL2Rvd25yZXYueG1sUEsBAhQA&#10;FAAAAAgAh07iQA2qTIPxAQAAvAMAAA4AAAAAAAAAAQAgAAAAKAEAAGRycy9lMm9Eb2MueG1sUEsF&#10;BgAAAAAGAAYAWQEAAIsFAAAAAA==&#10;">
                <v:fill on="f" focussize="0,0"/>
                <v:stroke weight="3pt" color="#FF0000" joinstyle="round"/>
                <v:imagedata o:title=""/>
                <o:lock v:ext="edit" aspectratio="f"/>
              </v:line>
            </w:pict>
          </mc:Fallback>
        </mc:AlternateContent>
      </w:r>
      <w:bookmarkEnd w:id="0"/>
    </w:p>
    <w:p>
      <w:pPr>
        <w:jc w:val="center"/>
        <w:rPr>
          <w:rFonts w:hint="eastAsia" w:asciiTheme="majorEastAsia" w:hAnsiTheme="majorEastAsia" w:eastAsiaTheme="majorEastAsia" w:cstheme="minorBidi"/>
          <w:b/>
          <w:sz w:val="44"/>
          <w:szCs w:val="44"/>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中国音乐学院科研项目会议费管理办法</w:t>
      </w:r>
    </w:p>
    <w:p>
      <w:pPr>
        <w:pStyle w:val="17"/>
        <w:spacing w:line="560" w:lineRule="exact"/>
        <w:ind w:left="1756" w:firstLine="1600" w:firstLineChars="500"/>
        <w:rPr>
          <w:rFonts w:hint="eastAsia" w:ascii="黑体" w:hAnsi="黑体" w:eastAsia="黑体" w:cs="Times New Roman"/>
          <w:sz w:val="32"/>
          <w:szCs w:val="32"/>
        </w:rPr>
      </w:pPr>
    </w:p>
    <w:p>
      <w:pPr>
        <w:snapToGrid w:val="0"/>
        <w:spacing w:line="640" w:lineRule="exact"/>
        <w:ind w:firstLine="600" w:firstLineChars="200"/>
        <w:jc w:val="center"/>
        <w:rPr>
          <w:rFonts w:hint="eastAsia" w:ascii="黑体" w:hAnsi="黑体" w:eastAsia="黑体" w:cs="黑体"/>
          <w:color w:val="000000"/>
          <w:sz w:val="30"/>
          <w:szCs w:val="30"/>
        </w:rPr>
      </w:pPr>
      <w:r>
        <w:rPr>
          <w:rFonts w:hint="eastAsia" w:ascii="黑体" w:hAnsi="黑体" w:eastAsia="黑体" w:cs="黑体"/>
          <w:color w:val="000000"/>
          <w:sz w:val="30"/>
          <w:szCs w:val="30"/>
        </w:rPr>
        <w:t>第一章 总 则</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第一条</w:t>
      </w:r>
      <w:r>
        <w:rPr>
          <w:rFonts w:hint="eastAsia" w:ascii="仿宋_GB2312" w:hAnsi="仿宋_GB2312" w:eastAsia="仿宋_GB2312" w:cs="仿宋_GB2312"/>
          <w:color w:val="000000"/>
          <w:sz w:val="30"/>
          <w:szCs w:val="30"/>
        </w:rPr>
        <w:t xml:space="preserve"> 为进一步加强和规范学校科研项目会议费管理，根据《北京市教育财政科研类项目经费管理办法》（京财教育[2016]3001号）、《北京市市级党政机关事业单位会议费管理办法》等相关文件精神，结合学校实际情况，制定本办法。</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第二条</w:t>
      </w:r>
      <w:r>
        <w:rPr>
          <w:rFonts w:hint="eastAsia" w:ascii="仿宋_GB2312" w:hAnsi="仿宋_GB2312" w:eastAsia="仿宋_GB2312" w:cs="仿宋_GB2312"/>
          <w:color w:val="000000"/>
          <w:sz w:val="30"/>
          <w:szCs w:val="30"/>
        </w:rPr>
        <w:t xml:space="preserve"> 本办法适用于科研项目经费中因科研业务需要举办的业务性会议，包括学术会议、学术论坛、研讨会、评审会等。</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第三条</w:t>
      </w:r>
      <w:r>
        <w:rPr>
          <w:rFonts w:hint="eastAsia" w:ascii="仿宋_GB2312" w:hAnsi="仿宋_GB2312" w:eastAsia="仿宋_GB2312" w:cs="仿宋_GB2312"/>
          <w:color w:val="000000"/>
          <w:sz w:val="30"/>
          <w:szCs w:val="30"/>
        </w:rPr>
        <w:t xml:space="preserve">  会议费使用和管理职责如下：</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会议举办者是会议费的直接负责人，对会议费使用的合规性、合理性、真实性和相关性承担直接责任。会议举办者应了解并遵守有关财经法律法规和会议费管理制度，依法、据实报销会议费。</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科研管理部门负责科研项目会议费制度的制定、完善与培训。</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财务管理部门负责会议费的会计核算和财务管理，依据有关财经法律法规、会议费管理办法，实施会议费报销管理和服务。</w:t>
      </w:r>
    </w:p>
    <w:p>
      <w:pPr>
        <w:spacing w:before="312" w:beforeLines="100" w:after="312" w:afterLines="100" w:line="640" w:lineRule="exact"/>
        <w:jc w:val="center"/>
        <w:rPr>
          <w:rFonts w:hint="eastAsia" w:ascii="黑体" w:hAnsi="黑体" w:eastAsia="黑体" w:cs="黑体"/>
          <w:color w:val="000000"/>
          <w:sz w:val="30"/>
          <w:szCs w:val="30"/>
        </w:rPr>
      </w:pPr>
      <w:r>
        <w:rPr>
          <w:rFonts w:hint="eastAsia" w:ascii="黑体" w:hAnsi="黑体" w:eastAsia="黑体" w:cs="黑体"/>
          <w:color w:val="000000"/>
          <w:sz w:val="30"/>
          <w:szCs w:val="30"/>
        </w:rPr>
        <w:t>第二章  会议审批及注意事项</w:t>
      </w:r>
    </w:p>
    <w:p>
      <w:pPr>
        <w:spacing w:line="640" w:lineRule="exact"/>
        <w:ind w:firstLine="590" w:firstLineChars="196"/>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第四条</w:t>
      </w:r>
      <w:r>
        <w:rPr>
          <w:rFonts w:hint="eastAsia" w:ascii="仿宋_GB2312" w:hAnsi="仿宋_GB2312" w:eastAsia="仿宋_GB2312" w:cs="仿宋_GB2312"/>
          <w:color w:val="000000"/>
          <w:sz w:val="30"/>
          <w:szCs w:val="30"/>
        </w:rPr>
        <w:t xml:space="preserve"> 学校应健全会议审批制度，履行会议费的审批程序。科研项目负责人应控制会议规模与会议天数；严禁无实质内容、无明确公务或业务目的的会议活动。</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第五条</w:t>
      </w:r>
      <w:r>
        <w:rPr>
          <w:rFonts w:hint="eastAsia" w:ascii="仿宋_GB2312" w:hAnsi="仿宋_GB2312" w:eastAsia="仿宋_GB2312" w:cs="仿宋_GB2312"/>
          <w:color w:val="000000"/>
          <w:sz w:val="30"/>
          <w:szCs w:val="30"/>
        </w:rPr>
        <w:t xml:space="preserve"> 科研项目负责人应优先选择在学校内部会议室召开会议。因科研项目需要必须在校外召开的，应选择北京市政府采购会议定点单位。不得到中央和北京市政府明令禁止的风景名胜区召开会议。</w:t>
      </w:r>
    </w:p>
    <w:p>
      <w:pPr>
        <w:spacing w:before="312" w:beforeLines="100" w:after="312" w:afterLines="100" w:line="640" w:lineRule="exact"/>
        <w:jc w:val="center"/>
        <w:rPr>
          <w:rFonts w:hint="eastAsia" w:ascii="黑体" w:hAnsi="黑体" w:eastAsia="黑体" w:cs="黑体"/>
          <w:color w:val="000000"/>
          <w:sz w:val="30"/>
          <w:szCs w:val="30"/>
        </w:rPr>
      </w:pPr>
      <w:r>
        <w:rPr>
          <w:rFonts w:hint="eastAsia" w:ascii="黑体" w:hAnsi="黑体" w:eastAsia="黑体" w:cs="黑体"/>
          <w:color w:val="000000"/>
          <w:sz w:val="30"/>
          <w:szCs w:val="30"/>
        </w:rPr>
        <w:t>第三章 会议费开支范围、标准和报销管理</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 xml:space="preserve">第六条 </w:t>
      </w:r>
      <w:r>
        <w:rPr>
          <w:rFonts w:hint="eastAsia" w:ascii="仿宋_GB2312" w:hAnsi="仿宋_GB2312" w:eastAsia="仿宋_GB2312" w:cs="仿宋_GB2312"/>
          <w:color w:val="000000"/>
          <w:sz w:val="30"/>
          <w:szCs w:val="30"/>
        </w:rPr>
        <w:t>举办会议开支范围包括会议住宿费、伙食费、会议场地租用费、专用设备租赁费、同声传译翻译费、交通费、劳务费、电话费、文件资料印刷费、办公文具费等。</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前款所称交通费是指用于会议代表接送站，以及会议统一组织的代表考察、调研等发生的交通支出。</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第七条</w:t>
      </w:r>
      <w:r>
        <w:rPr>
          <w:rFonts w:hint="eastAsia" w:ascii="仿宋_GB2312" w:hAnsi="仿宋_GB2312" w:eastAsia="仿宋_GB2312" w:cs="仿宋_GB2312"/>
          <w:color w:val="000000"/>
          <w:sz w:val="30"/>
          <w:szCs w:val="30"/>
        </w:rPr>
        <w:t xml:space="preserve"> 会议费实行总额控制，应在支出标准总额内据实报销。会议费支出标准如下：</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单位：元/人.天</w:t>
      </w:r>
    </w:p>
    <w:tbl>
      <w:tblPr>
        <w:tblStyle w:val="8"/>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560"/>
        <w:gridCol w:w="1423"/>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会议类别</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住宿费</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伙食费</w:t>
            </w:r>
          </w:p>
        </w:tc>
        <w:tc>
          <w:tcPr>
            <w:tcW w:w="1705"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其他费用</w:t>
            </w:r>
          </w:p>
        </w:tc>
        <w:tc>
          <w:tcPr>
            <w:tcW w:w="1705"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国内业务会议</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500</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150</w:t>
            </w:r>
          </w:p>
        </w:tc>
        <w:tc>
          <w:tcPr>
            <w:tcW w:w="1705"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100</w:t>
            </w:r>
          </w:p>
        </w:tc>
        <w:tc>
          <w:tcPr>
            <w:tcW w:w="1705"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在华举办国际会议</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1200</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300</w:t>
            </w:r>
          </w:p>
        </w:tc>
        <w:tc>
          <w:tcPr>
            <w:tcW w:w="1705"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400</w:t>
            </w:r>
          </w:p>
        </w:tc>
        <w:tc>
          <w:tcPr>
            <w:tcW w:w="1705"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1900</w:t>
            </w:r>
          </w:p>
        </w:tc>
      </w:tr>
    </w:tbl>
    <w:p>
      <w:pPr>
        <w:snapToGrid w:val="0"/>
        <w:spacing w:line="64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对于不发生的事项，报销额度上限应按明细标准进行相应扣减。特别是不安排住宿的会议不能列支住宿费，额度上也不能超过无住宿费的支出标准。</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第八条</w:t>
      </w:r>
      <w:r>
        <w:rPr>
          <w:rFonts w:hint="eastAsia" w:ascii="仿宋_GB2312" w:hAnsi="仿宋_GB2312" w:eastAsia="仿宋_GB2312" w:cs="仿宋_GB2312"/>
          <w:color w:val="000000"/>
          <w:sz w:val="30"/>
          <w:szCs w:val="30"/>
        </w:rPr>
        <w:t xml:space="preserve">  下列费用纳入会议费预算，但不计入会议费总额控制标准内，从相应的支出科目中据实列支：</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（一）会议代表旅费。会议代表参加会议发生的旅费，原则上回单位报销。对确因工作需要，邀请学者、专家和有关人员参加会议所发生的城市间交通费，可参照学校相应标准在差旅费、国际合作交流费中报销；</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（二）参会专家人员费用。会议举办者根据工作需要，可向邀请参会专家发放咨询费、讲课费、劳务费。</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第九条</w:t>
      </w:r>
      <w:r>
        <w:rPr>
          <w:rFonts w:hint="eastAsia" w:ascii="仿宋_GB2312" w:hAnsi="仿宋_GB2312" w:eastAsia="仿宋_GB2312" w:cs="仿宋_GB2312"/>
          <w:color w:val="000000"/>
          <w:sz w:val="30"/>
          <w:szCs w:val="30"/>
        </w:rPr>
        <w:t xml:space="preserve"> 在会议开始前可办理会议费预支手续。预支会议费应提供：</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（一）会议通知（包含会议议程）；</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（二）会议费预算表、筹办会议审批单；</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（三）预支款单。</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第十条</w:t>
      </w:r>
      <w:r>
        <w:rPr>
          <w:rFonts w:hint="eastAsia" w:ascii="仿宋_GB2312" w:hAnsi="仿宋_GB2312" w:eastAsia="仿宋_GB2312" w:cs="仿宋_GB2312"/>
          <w:color w:val="000000"/>
          <w:sz w:val="30"/>
          <w:szCs w:val="30"/>
        </w:rPr>
        <w:t xml:space="preserve"> 在会议结束后应当及时汇总各项资料和票据并办理报销手续。会议费报销时应提供如下资料（预支时已提供的，无需重复提供）：</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（一）会议通知；</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（二）会议费预算表；</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（三）筹办会议审批单；</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（四）实际参会人员签到表；</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（五）会议服务单位提供的费用发票、原始明细单据、北京市政府采购会议结算明细单等资料。</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在内部会议场所召开的科研业务会议，报销会议费时应参照会议定点场所报销规定执行。</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第十一条</w:t>
      </w:r>
      <w:r>
        <w:rPr>
          <w:rFonts w:hint="eastAsia" w:ascii="仿宋_GB2312" w:hAnsi="仿宋_GB2312" w:eastAsia="仿宋_GB2312" w:cs="仿宋_GB2312"/>
          <w:color w:val="000000"/>
          <w:sz w:val="30"/>
          <w:szCs w:val="30"/>
        </w:rPr>
        <w:t xml:space="preserve"> 财政科研类项目会议费纳入国库集中支付范围，采取财政授权支付方式。各单位要严格按照国库集中支付制度和公务卡管理制度的有关规定执行，以银行转账或公务卡方式结算，禁止以现金方式结算。</w:t>
      </w:r>
    </w:p>
    <w:p>
      <w:pPr>
        <w:snapToGrid w:val="0"/>
        <w:spacing w:line="640" w:lineRule="exact"/>
        <w:ind w:firstLine="600" w:firstLineChars="200"/>
        <w:jc w:val="center"/>
        <w:rPr>
          <w:rFonts w:hint="eastAsia" w:ascii="黑体" w:hAnsi="黑体" w:eastAsia="黑体" w:cs="黑体"/>
          <w:color w:val="000000"/>
          <w:sz w:val="30"/>
          <w:szCs w:val="30"/>
        </w:rPr>
      </w:pPr>
      <w:r>
        <w:rPr>
          <w:rFonts w:hint="eastAsia" w:ascii="黑体" w:hAnsi="黑体" w:eastAsia="黑体" w:cs="黑体"/>
          <w:color w:val="000000"/>
          <w:sz w:val="30"/>
          <w:szCs w:val="30"/>
        </w:rPr>
        <w:t>第四章 监督问责</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第十二条</w:t>
      </w:r>
      <w:r>
        <w:rPr>
          <w:rFonts w:hint="eastAsia" w:ascii="仿宋_GB2312" w:hAnsi="仿宋_GB2312" w:eastAsia="仿宋_GB2312" w:cs="仿宋_GB2312"/>
          <w:color w:val="000000"/>
          <w:sz w:val="30"/>
          <w:szCs w:val="30"/>
        </w:rPr>
        <w:t xml:space="preserve"> 严禁借会议名义组织会餐或安排宴请；严禁预存、套取会议费设立“小金库”。</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严格执行会议用房标准，不得安排高档套房；会议用餐严格控制菜品种类、数量和份量，严禁提供高档菜肴和香烟，不得使用会议费购置电脑、复印机、打印机、传真机等固定资产以及开支与本会议无关的其他消费；不得组织会议代表旅游及与会议无关的参观；严禁以任何名义发放纪念品；严禁组织高消费娱乐活动。</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第十三条</w:t>
      </w:r>
      <w:r>
        <w:rPr>
          <w:rFonts w:hint="eastAsia" w:ascii="仿宋_GB2312" w:hAnsi="仿宋_GB2312" w:eastAsia="仿宋_GB2312" w:cs="仿宋_GB2312"/>
          <w:color w:val="000000"/>
          <w:sz w:val="30"/>
          <w:szCs w:val="30"/>
        </w:rPr>
        <w:t xml:space="preserve"> 学校审计等部门对科研项目单位的会议费管理和使用情况进行监督检查。主要内容包括：</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（一）单位会议审批制度是否健全，会议活动是否按规定履行审批手续；</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（二）会议费开支范围和标准是否符合规定；</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（三）会议费报销手续是否符合规定；</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（四）会议费管理和使用的其他情况。</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对涉及违反会议费管理规定情形的，由学校纪检等部门责令改正，违规资金应予追回，并视情况予以通报。对直接责任人和项目负责人给予问责。</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第十四条</w:t>
      </w:r>
      <w:r>
        <w:rPr>
          <w:rFonts w:hint="eastAsia" w:ascii="仿宋_GB2312" w:hAnsi="仿宋_GB2312" w:eastAsia="仿宋_GB2312" w:cs="仿宋_GB2312"/>
          <w:color w:val="000000"/>
          <w:sz w:val="30"/>
          <w:szCs w:val="30"/>
        </w:rPr>
        <w:t xml:space="preserve"> 会议举办单位违反本办法规定，有下列行为之一的，依照有关法律法规追究相关人员的责任，同时报纪检部门进行处</w:t>
      </w:r>
      <w:r>
        <w:rPr>
          <w:rFonts w:hint="eastAsia" w:ascii="仿宋_GB2312" w:hAnsi="仿宋_GB2312" w:eastAsia="仿宋_GB2312" w:cs="仿宋_GB2312"/>
          <w:sz w:val="30"/>
          <w:szCs w:val="30"/>
        </w:rPr>
        <w:t>理。</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（一）预存、套取会议费设立“小金库”的；</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（二）以虚报会议人数、天数等手段骗取会议费的；</w:t>
      </w:r>
    </w:p>
    <w:p>
      <w:pPr>
        <w:snapToGrid w:val="0"/>
        <w:spacing w:line="6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（三）违规报销与会议无关费用的。</w:t>
      </w:r>
    </w:p>
    <w:p>
      <w:pPr>
        <w:snapToGrid w:val="0"/>
        <w:spacing w:line="640" w:lineRule="exact"/>
        <w:ind w:firstLine="600" w:firstLineChars="200"/>
        <w:jc w:val="center"/>
        <w:rPr>
          <w:rFonts w:hint="eastAsia" w:ascii="黑体" w:hAnsi="黑体" w:eastAsia="黑体" w:cs="黑体"/>
          <w:color w:val="000000"/>
          <w:sz w:val="30"/>
          <w:szCs w:val="30"/>
        </w:rPr>
      </w:pPr>
      <w:r>
        <w:rPr>
          <w:rFonts w:hint="eastAsia" w:ascii="黑体" w:hAnsi="黑体" w:eastAsia="黑体" w:cs="黑体"/>
          <w:color w:val="000000"/>
          <w:sz w:val="30"/>
          <w:szCs w:val="30"/>
        </w:rPr>
        <w:t>第五章 附 则</w:t>
      </w:r>
    </w:p>
    <w:p>
      <w:pPr>
        <w:snapToGrid w:val="0"/>
        <w:spacing w:line="64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第十五条</w:t>
      </w:r>
      <w:r>
        <w:rPr>
          <w:rFonts w:hint="eastAsia" w:ascii="仿宋_GB2312" w:hAnsi="仿宋_GB2312" w:eastAsia="仿宋_GB2312" w:cs="仿宋_GB2312"/>
          <w:color w:val="000000"/>
          <w:sz w:val="30"/>
          <w:szCs w:val="30"/>
        </w:rPr>
        <w:t xml:space="preserve"> 本办法由科研管理部门负责解释。</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30"/>
          <w:szCs w:val="30"/>
        </w:rPr>
        <w:t>第十六条</w:t>
      </w:r>
      <w:r>
        <w:rPr>
          <w:rFonts w:hint="eastAsia" w:ascii="仿宋_GB2312" w:hAnsi="仿宋_GB2312" w:eastAsia="仿宋_GB2312" w:cs="仿宋_GB2312"/>
          <w:color w:val="000000"/>
          <w:sz w:val="30"/>
          <w:szCs w:val="30"/>
        </w:rPr>
        <w:t xml:space="preserve">  本办法自颁布之日起执行。</w:t>
      </w:r>
    </w:p>
    <w:p>
      <w:pPr>
        <w:pStyle w:val="16"/>
        <w:keepNext w:val="0"/>
        <w:keepLines w:val="0"/>
        <w:pageBreakBefore w:val="0"/>
        <w:widowControl w:val="0"/>
        <w:kinsoku/>
        <w:wordWrap/>
        <w:overflowPunct/>
        <w:topLinePunct w:val="0"/>
        <w:autoSpaceDE/>
        <w:autoSpaceDN/>
        <w:bidi w:val="0"/>
        <w:adjustRightInd/>
        <w:snapToGrid/>
        <w:spacing w:before="156" w:after="156" w:line="560" w:lineRule="exact"/>
        <w:ind w:firstLine="600" w:firstLineChars="200"/>
        <w:jc w:val="center"/>
        <w:textAlignment w:val="auto"/>
        <w:rPr>
          <w:rFonts w:hint="eastAsia" w:ascii="仿宋_GB2312" w:hAnsi="仿宋_GB2312" w:eastAsia="仿宋_GB2312" w:cs="仿宋_GB2312"/>
          <w:color w:val="000000"/>
          <w:sz w:val="30"/>
          <w:szCs w:val="30"/>
        </w:rPr>
      </w:pPr>
      <w:r>
        <w:rPr>
          <w:rFonts w:hint="eastAsia" w:ascii="仿宋_GB2312" w:hAnsi="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中国音乐学院</w:t>
      </w:r>
    </w:p>
    <w:p>
      <w:pPr>
        <w:pStyle w:val="16"/>
        <w:keepNext w:val="0"/>
        <w:keepLines w:val="0"/>
        <w:pageBreakBefore w:val="0"/>
        <w:widowControl w:val="0"/>
        <w:kinsoku/>
        <w:wordWrap/>
        <w:overflowPunct/>
        <w:topLinePunct w:val="0"/>
        <w:autoSpaceDE/>
        <w:autoSpaceDN/>
        <w:bidi w:val="0"/>
        <w:adjustRightInd/>
        <w:snapToGrid/>
        <w:spacing w:before="156" w:after="156" w:line="560" w:lineRule="exact"/>
        <w:ind w:firstLine="600" w:firstLineChars="200"/>
        <w:jc w:val="right"/>
        <w:textAlignment w:val="auto"/>
        <w:rPr>
          <w:rFonts w:hint="eastAsia" w:ascii="仿宋_GB2312" w:hAnsi="仿宋_GB2312" w:cs="仿宋_GB2312"/>
          <w:color w:val="000000"/>
          <w:sz w:val="30"/>
          <w:szCs w:val="30"/>
          <w:lang w:val="en-US" w:eastAsia="zh-CN"/>
        </w:rPr>
      </w:pPr>
      <w:r>
        <w:rPr>
          <w:rFonts w:hint="eastAsia" w:ascii="仿宋_GB2312" w:hAnsi="仿宋_GB2312" w:eastAsia="仿宋_GB2312" w:cs="仿宋_GB2312"/>
          <w:color w:val="000000"/>
          <w:sz w:val="30"/>
          <w:szCs w:val="30"/>
        </w:rPr>
        <w:t>2020年</w:t>
      </w:r>
      <w:r>
        <w:rPr>
          <w:rFonts w:hint="eastAsia" w:ascii="仿宋_GB2312" w:hAnsi="仿宋_GB2312" w:cs="仿宋_GB2312"/>
          <w:color w:val="000000"/>
          <w:sz w:val="30"/>
          <w:szCs w:val="30"/>
          <w:lang w:val="en-US" w:eastAsia="zh-CN"/>
        </w:rPr>
        <w:t>9</w:t>
      </w:r>
      <w:r>
        <w:rPr>
          <w:rFonts w:hint="eastAsia" w:ascii="仿宋_GB2312" w:hAnsi="仿宋_GB2312" w:eastAsia="仿宋_GB2312" w:cs="仿宋_GB2312"/>
          <w:color w:val="000000"/>
          <w:sz w:val="30"/>
          <w:szCs w:val="30"/>
        </w:rPr>
        <w:t>月</w:t>
      </w:r>
      <w:r>
        <w:rPr>
          <w:rFonts w:hint="eastAsia" w:ascii="仿宋_GB2312" w:hAnsi="仿宋_GB2312" w:cs="仿宋_GB2312"/>
          <w:color w:val="000000"/>
          <w:sz w:val="30"/>
          <w:szCs w:val="30"/>
          <w:lang w:val="en-US" w:eastAsia="zh-CN"/>
        </w:rPr>
        <w:t>8日</w:t>
      </w:r>
    </w:p>
    <w:p>
      <w:pPr>
        <w:tabs>
          <w:tab w:val="left" w:pos="840"/>
        </w:tabs>
        <w:spacing w:line="360" w:lineRule="auto"/>
        <w:ind w:right="-58"/>
        <w:rPr>
          <w:rFonts w:hint="eastAsia" w:ascii="仿宋_GB2312" w:hAnsi="仿宋_GB2312" w:cs="仿宋_GB2312"/>
          <w:color w:val="000000"/>
          <w:sz w:val="30"/>
          <w:szCs w:val="30"/>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-167640</wp:posOffset>
                </wp:positionH>
                <wp:positionV relativeFrom="paragraph">
                  <wp:posOffset>317500</wp:posOffset>
                </wp:positionV>
                <wp:extent cx="554482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2pt;margin-top:25pt;height:0pt;width:436.6pt;z-index:251661312;mso-width-relative:page;mso-height-relative:page;" filled="f" stroked="t" coordsize="21600,21600" o:gfxdata="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BAVFrW&#10;AAAACQEAAA8AAAAAAAAAAQAgAAAAIgAAAGRycy9kb3ducmV2LnhtbFBLAQIUABQAAAAIAIdO4kC3&#10;mGiD6QEAALgDAAAOAAAAAAAAAAEAIAAAACU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-182880</wp:posOffset>
                </wp:positionH>
                <wp:positionV relativeFrom="paragraph">
                  <wp:posOffset>66675</wp:posOffset>
                </wp:positionV>
                <wp:extent cx="554482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4pt;margin-top:5.25pt;height:0pt;width:436.6pt;z-index:251662336;mso-width-relative:page;mso-height-relative:page;" filled="f" stroked="t" coordsize="21600,21600" o:gfxdata="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Xf/YdYA&#10;AAAJAQAADwAAAAAAAAABACAAAAAiAAAAZHJzL2Rvd25yZXYueG1sUEsBAhQAFAAAAAgAh07iQMjh&#10;zgzoAQAAuAMAAA4AAAAAAAAAAQAgAAAAJQEAAGRycy9lMm9Eb2MueG1sUEsFBgAAAAAGAAYAWQEA&#10;AH8FAAAAAA==&#10;">
                <v:fill on="f" focussize="0,0"/>
                <v:stroke color="#000000" joinstyle="round"/>
                <v:imagedata o:title=""/>
                <o:lock v:ext="edit" aspectratio="f"/>
              </v:line>
            </w:pict>
          </mc:Fallback>
        </mc:AlternateContent>
      </w:r>
      <w:r>
        <w:rPr>
          <w:rFonts w:hint="eastAsia" w:ascii="仿宋_GB2312" w:eastAsia="仿宋_GB2312"/>
          <w:sz w:val="28"/>
        </w:rPr>
        <w:t>中国音乐学院</w:t>
      </w:r>
      <w:r>
        <w:rPr>
          <w:rFonts w:hint="eastAsia" w:ascii="仿宋_GB2312" w:eastAsia="仿宋_GB2312"/>
          <w:sz w:val="28"/>
          <w:lang w:eastAsia="zh-CN"/>
        </w:rPr>
        <w:t>党院</w:t>
      </w:r>
      <w:r>
        <w:rPr>
          <w:rFonts w:hint="eastAsia" w:ascii="仿宋_GB2312" w:eastAsia="仿宋_GB2312"/>
          <w:sz w:val="28"/>
        </w:rPr>
        <w:t>办公室                2020年</w:t>
      </w:r>
      <w:r>
        <w:rPr>
          <w:rFonts w:hint="eastAsia" w:ascii="仿宋_GB2312" w:eastAsia="仿宋_GB2312"/>
          <w:sz w:val="28"/>
          <w:lang w:val="en-US" w:eastAsia="zh-CN"/>
        </w:rPr>
        <w:t>9</w:t>
      </w:r>
      <w:bookmarkStart w:id="1" w:name="_GoBack"/>
      <w:bookmarkEnd w:id="1"/>
      <w:r>
        <w:rPr>
          <w:rFonts w:hint="eastAsia" w:ascii="仿宋_GB2312" w:eastAsia="仿宋_GB2312"/>
          <w:sz w:val="28"/>
        </w:rPr>
        <w:t>月</w:t>
      </w:r>
      <w:r>
        <w:rPr>
          <w:rFonts w:hint="eastAsia" w:ascii="仿宋_GB2312" w:eastAsia="仿宋_GB2312"/>
          <w:sz w:val="28"/>
          <w:lang w:val="en-US" w:eastAsia="zh-CN"/>
        </w:rPr>
        <w:t>8</w:t>
      </w:r>
      <w:r>
        <w:rPr>
          <w:rFonts w:hint="eastAsia" w:ascii="仿宋_GB2312" w:eastAsia="仿宋_GB2312"/>
          <w:sz w:val="28"/>
        </w:rPr>
        <w:t>日印发</w:t>
      </w:r>
    </w:p>
    <w:sectPr>
      <w:footerReference r:id="rId3" w:type="default"/>
      <w:pgSz w:w="11906" w:h="16838"/>
      <w:pgMar w:top="1660" w:right="1800" w:bottom="15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aEdMz4QEAALkDAAAOAAAA&#10;AAAAAAEAIAAAAB4BAABkcnMvZTJvRG9jLnhtbFBLBQYAAAAABgAGAFkBAABx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YmU3OWQ3NGI3ODZiNTA3N2I1NDExNDhiNzdjZjAifQ=="/>
  </w:docVars>
  <w:rsids>
    <w:rsidRoot w:val="00E61EFA"/>
    <w:rsid w:val="00003AF1"/>
    <w:rsid w:val="00004207"/>
    <w:rsid w:val="00010585"/>
    <w:rsid w:val="00020AEB"/>
    <w:rsid w:val="00024563"/>
    <w:rsid w:val="000277DF"/>
    <w:rsid w:val="000310F6"/>
    <w:rsid w:val="0003170E"/>
    <w:rsid w:val="000354AD"/>
    <w:rsid w:val="0003566E"/>
    <w:rsid w:val="00036F6F"/>
    <w:rsid w:val="00040093"/>
    <w:rsid w:val="000411A7"/>
    <w:rsid w:val="00041F1C"/>
    <w:rsid w:val="00046DEB"/>
    <w:rsid w:val="0004747F"/>
    <w:rsid w:val="00047B1F"/>
    <w:rsid w:val="00050866"/>
    <w:rsid w:val="00051356"/>
    <w:rsid w:val="00054EBC"/>
    <w:rsid w:val="00055868"/>
    <w:rsid w:val="00056900"/>
    <w:rsid w:val="00057D5B"/>
    <w:rsid w:val="0007301D"/>
    <w:rsid w:val="0007689F"/>
    <w:rsid w:val="0008197C"/>
    <w:rsid w:val="00083D4E"/>
    <w:rsid w:val="000909E4"/>
    <w:rsid w:val="000913FC"/>
    <w:rsid w:val="00094783"/>
    <w:rsid w:val="000968D3"/>
    <w:rsid w:val="00096E86"/>
    <w:rsid w:val="000A2B28"/>
    <w:rsid w:val="000A4164"/>
    <w:rsid w:val="000A4770"/>
    <w:rsid w:val="000A4A51"/>
    <w:rsid w:val="000B046E"/>
    <w:rsid w:val="000B57D4"/>
    <w:rsid w:val="000B6478"/>
    <w:rsid w:val="000D0395"/>
    <w:rsid w:val="000D1BC2"/>
    <w:rsid w:val="000E033C"/>
    <w:rsid w:val="000E132D"/>
    <w:rsid w:val="000E639D"/>
    <w:rsid w:val="000F378E"/>
    <w:rsid w:val="000F37FD"/>
    <w:rsid w:val="000F3A57"/>
    <w:rsid w:val="000F3DF8"/>
    <w:rsid w:val="00101015"/>
    <w:rsid w:val="00102116"/>
    <w:rsid w:val="00102128"/>
    <w:rsid w:val="00102ABE"/>
    <w:rsid w:val="00107ECF"/>
    <w:rsid w:val="00115051"/>
    <w:rsid w:val="00120A3F"/>
    <w:rsid w:val="0012118F"/>
    <w:rsid w:val="001214DC"/>
    <w:rsid w:val="00121E22"/>
    <w:rsid w:val="0012325B"/>
    <w:rsid w:val="00130A18"/>
    <w:rsid w:val="001322ED"/>
    <w:rsid w:val="00143E1C"/>
    <w:rsid w:val="00147F66"/>
    <w:rsid w:val="0015346C"/>
    <w:rsid w:val="001539EC"/>
    <w:rsid w:val="001572DF"/>
    <w:rsid w:val="0016664F"/>
    <w:rsid w:val="0017336E"/>
    <w:rsid w:val="0017385D"/>
    <w:rsid w:val="0017505C"/>
    <w:rsid w:val="00181F6F"/>
    <w:rsid w:val="0018219C"/>
    <w:rsid w:val="00183E8B"/>
    <w:rsid w:val="0018504D"/>
    <w:rsid w:val="001905F4"/>
    <w:rsid w:val="00191901"/>
    <w:rsid w:val="00191ACE"/>
    <w:rsid w:val="00191E1F"/>
    <w:rsid w:val="00193AD4"/>
    <w:rsid w:val="00193EF9"/>
    <w:rsid w:val="00194834"/>
    <w:rsid w:val="001A356A"/>
    <w:rsid w:val="001A4634"/>
    <w:rsid w:val="001B0458"/>
    <w:rsid w:val="001C23F5"/>
    <w:rsid w:val="001C2E1F"/>
    <w:rsid w:val="001C44D9"/>
    <w:rsid w:val="001C5DBE"/>
    <w:rsid w:val="001C7D26"/>
    <w:rsid w:val="001D0F8C"/>
    <w:rsid w:val="001D21AE"/>
    <w:rsid w:val="001D501B"/>
    <w:rsid w:val="001D708C"/>
    <w:rsid w:val="001E2F68"/>
    <w:rsid w:val="001E51A3"/>
    <w:rsid w:val="001E5C32"/>
    <w:rsid w:val="001E65F7"/>
    <w:rsid w:val="001F0EAA"/>
    <w:rsid w:val="001F16A3"/>
    <w:rsid w:val="0020075C"/>
    <w:rsid w:val="002037A3"/>
    <w:rsid w:val="0020557F"/>
    <w:rsid w:val="00205AEF"/>
    <w:rsid w:val="00207192"/>
    <w:rsid w:val="00210FB0"/>
    <w:rsid w:val="00215E32"/>
    <w:rsid w:val="00220817"/>
    <w:rsid w:val="0022165C"/>
    <w:rsid w:val="00224784"/>
    <w:rsid w:val="002302AF"/>
    <w:rsid w:val="00233393"/>
    <w:rsid w:val="00244F77"/>
    <w:rsid w:val="0024502E"/>
    <w:rsid w:val="002470C8"/>
    <w:rsid w:val="00247470"/>
    <w:rsid w:val="00253734"/>
    <w:rsid w:val="00255C4F"/>
    <w:rsid w:val="00255C6B"/>
    <w:rsid w:val="00256C14"/>
    <w:rsid w:val="002649CF"/>
    <w:rsid w:val="0026507B"/>
    <w:rsid w:val="002659E5"/>
    <w:rsid w:val="002703E0"/>
    <w:rsid w:val="00270EE3"/>
    <w:rsid w:val="00275922"/>
    <w:rsid w:val="00277179"/>
    <w:rsid w:val="002772E7"/>
    <w:rsid w:val="00277ECB"/>
    <w:rsid w:val="00284EB9"/>
    <w:rsid w:val="002860A3"/>
    <w:rsid w:val="00292666"/>
    <w:rsid w:val="002940A1"/>
    <w:rsid w:val="002A3210"/>
    <w:rsid w:val="002A3B35"/>
    <w:rsid w:val="002A49D6"/>
    <w:rsid w:val="002A5180"/>
    <w:rsid w:val="002A7157"/>
    <w:rsid w:val="002B0722"/>
    <w:rsid w:val="002B339D"/>
    <w:rsid w:val="002B5705"/>
    <w:rsid w:val="002B5EB6"/>
    <w:rsid w:val="002C13DE"/>
    <w:rsid w:val="002C4E30"/>
    <w:rsid w:val="002C52BF"/>
    <w:rsid w:val="002C53D2"/>
    <w:rsid w:val="002C6B52"/>
    <w:rsid w:val="002D288E"/>
    <w:rsid w:val="002D3410"/>
    <w:rsid w:val="002D372E"/>
    <w:rsid w:val="002D57EB"/>
    <w:rsid w:val="002D7B49"/>
    <w:rsid w:val="002E068B"/>
    <w:rsid w:val="002E431D"/>
    <w:rsid w:val="002E50FD"/>
    <w:rsid w:val="002E540D"/>
    <w:rsid w:val="002F14EB"/>
    <w:rsid w:val="002F5CEF"/>
    <w:rsid w:val="002F628E"/>
    <w:rsid w:val="00301F45"/>
    <w:rsid w:val="0030309C"/>
    <w:rsid w:val="00305388"/>
    <w:rsid w:val="0030709E"/>
    <w:rsid w:val="0031001C"/>
    <w:rsid w:val="0031664D"/>
    <w:rsid w:val="0032397C"/>
    <w:rsid w:val="0032629D"/>
    <w:rsid w:val="003262B9"/>
    <w:rsid w:val="003308F2"/>
    <w:rsid w:val="003367CA"/>
    <w:rsid w:val="00342423"/>
    <w:rsid w:val="003427D3"/>
    <w:rsid w:val="0034523E"/>
    <w:rsid w:val="00350B70"/>
    <w:rsid w:val="003511B8"/>
    <w:rsid w:val="00352C9A"/>
    <w:rsid w:val="003542E3"/>
    <w:rsid w:val="003572D5"/>
    <w:rsid w:val="00364B55"/>
    <w:rsid w:val="00364C4A"/>
    <w:rsid w:val="00367FD9"/>
    <w:rsid w:val="003714BE"/>
    <w:rsid w:val="0037229C"/>
    <w:rsid w:val="00372723"/>
    <w:rsid w:val="003733AE"/>
    <w:rsid w:val="00380CDE"/>
    <w:rsid w:val="0038328D"/>
    <w:rsid w:val="00386AAF"/>
    <w:rsid w:val="00393718"/>
    <w:rsid w:val="003A6DC7"/>
    <w:rsid w:val="003B385D"/>
    <w:rsid w:val="003B61E9"/>
    <w:rsid w:val="003B670F"/>
    <w:rsid w:val="003C52B8"/>
    <w:rsid w:val="003D246F"/>
    <w:rsid w:val="003D28B0"/>
    <w:rsid w:val="003D486B"/>
    <w:rsid w:val="003E1403"/>
    <w:rsid w:val="003E256A"/>
    <w:rsid w:val="003E3699"/>
    <w:rsid w:val="003E40F7"/>
    <w:rsid w:val="003E7C4D"/>
    <w:rsid w:val="003F09DC"/>
    <w:rsid w:val="003F382F"/>
    <w:rsid w:val="003F55D1"/>
    <w:rsid w:val="003F56D7"/>
    <w:rsid w:val="00403EE1"/>
    <w:rsid w:val="00404CC4"/>
    <w:rsid w:val="004075A7"/>
    <w:rsid w:val="00410B17"/>
    <w:rsid w:val="0041539B"/>
    <w:rsid w:val="0041589E"/>
    <w:rsid w:val="00417409"/>
    <w:rsid w:val="0042137D"/>
    <w:rsid w:val="00425922"/>
    <w:rsid w:val="004259CF"/>
    <w:rsid w:val="00425EE3"/>
    <w:rsid w:val="00432BA9"/>
    <w:rsid w:val="004354BD"/>
    <w:rsid w:val="00437BDA"/>
    <w:rsid w:val="00442981"/>
    <w:rsid w:val="00452E84"/>
    <w:rsid w:val="00454674"/>
    <w:rsid w:val="004548C0"/>
    <w:rsid w:val="004620D1"/>
    <w:rsid w:val="00470697"/>
    <w:rsid w:val="0047159E"/>
    <w:rsid w:val="00472066"/>
    <w:rsid w:val="004754D0"/>
    <w:rsid w:val="0048073E"/>
    <w:rsid w:val="00481569"/>
    <w:rsid w:val="004828ED"/>
    <w:rsid w:val="00490A25"/>
    <w:rsid w:val="00493AFE"/>
    <w:rsid w:val="00497528"/>
    <w:rsid w:val="00497FBB"/>
    <w:rsid w:val="004A499A"/>
    <w:rsid w:val="004A7488"/>
    <w:rsid w:val="004B0779"/>
    <w:rsid w:val="004B421C"/>
    <w:rsid w:val="004B5558"/>
    <w:rsid w:val="004C2100"/>
    <w:rsid w:val="004C3244"/>
    <w:rsid w:val="004D197B"/>
    <w:rsid w:val="004E100F"/>
    <w:rsid w:val="004E1870"/>
    <w:rsid w:val="004F1432"/>
    <w:rsid w:val="004F3BE2"/>
    <w:rsid w:val="004F3DE8"/>
    <w:rsid w:val="004F4156"/>
    <w:rsid w:val="004F6DD5"/>
    <w:rsid w:val="005008FA"/>
    <w:rsid w:val="00511F6B"/>
    <w:rsid w:val="005151EE"/>
    <w:rsid w:val="005160E7"/>
    <w:rsid w:val="00517135"/>
    <w:rsid w:val="00522D03"/>
    <w:rsid w:val="005239FD"/>
    <w:rsid w:val="00525577"/>
    <w:rsid w:val="00526B4A"/>
    <w:rsid w:val="00526DE4"/>
    <w:rsid w:val="0053087D"/>
    <w:rsid w:val="00530B4B"/>
    <w:rsid w:val="00535B0D"/>
    <w:rsid w:val="00537ED5"/>
    <w:rsid w:val="00540316"/>
    <w:rsid w:val="00540E00"/>
    <w:rsid w:val="005412F9"/>
    <w:rsid w:val="0054743D"/>
    <w:rsid w:val="00550DB3"/>
    <w:rsid w:val="0055463C"/>
    <w:rsid w:val="00556A2A"/>
    <w:rsid w:val="0056069D"/>
    <w:rsid w:val="00561582"/>
    <w:rsid w:val="00562518"/>
    <w:rsid w:val="00564132"/>
    <w:rsid w:val="00565A92"/>
    <w:rsid w:val="0057398E"/>
    <w:rsid w:val="00577B5D"/>
    <w:rsid w:val="00581041"/>
    <w:rsid w:val="005811D1"/>
    <w:rsid w:val="00581BD7"/>
    <w:rsid w:val="00581D8C"/>
    <w:rsid w:val="00585C1C"/>
    <w:rsid w:val="00587B8E"/>
    <w:rsid w:val="0059120B"/>
    <w:rsid w:val="00595F2A"/>
    <w:rsid w:val="00596ADD"/>
    <w:rsid w:val="00596BA0"/>
    <w:rsid w:val="00596D35"/>
    <w:rsid w:val="005A1094"/>
    <w:rsid w:val="005A2887"/>
    <w:rsid w:val="005A3A71"/>
    <w:rsid w:val="005B6387"/>
    <w:rsid w:val="005B77B4"/>
    <w:rsid w:val="005B788E"/>
    <w:rsid w:val="005C0C99"/>
    <w:rsid w:val="005C6D82"/>
    <w:rsid w:val="005C7F66"/>
    <w:rsid w:val="005D3821"/>
    <w:rsid w:val="005D3B58"/>
    <w:rsid w:val="005D5FBC"/>
    <w:rsid w:val="005D6911"/>
    <w:rsid w:val="005E3821"/>
    <w:rsid w:val="005E3F74"/>
    <w:rsid w:val="005E72B8"/>
    <w:rsid w:val="005F7D83"/>
    <w:rsid w:val="00606A4F"/>
    <w:rsid w:val="00607779"/>
    <w:rsid w:val="006159C8"/>
    <w:rsid w:val="00616CF5"/>
    <w:rsid w:val="00617AA1"/>
    <w:rsid w:val="00620000"/>
    <w:rsid w:val="006265DA"/>
    <w:rsid w:val="00626E47"/>
    <w:rsid w:val="0062797A"/>
    <w:rsid w:val="0063115D"/>
    <w:rsid w:val="006327D1"/>
    <w:rsid w:val="0063617B"/>
    <w:rsid w:val="006376B4"/>
    <w:rsid w:val="006403D9"/>
    <w:rsid w:val="00641216"/>
    <w:rsid w:val="00641949"/>
    <w:rsid w:val="00641FAB"/>
    <w:rsid w:val="00645D30"/>
    <w:rsid w:val="00647F68"/>
    <w:rsid w:val="00653D5F"/>
    <w:rsid w:val="00654A4C"/>
    <w:rsid w:val="00661FD5"/>
    <w:rsid w:val="00671833"/>
    <w:rsid w:val="00674927"/>
    <w:rsid w:val="006809E2"/>
    <w:rsid w:val="00681EBF"/>
    <w:rsid w:val="0068477F"/>
    <w:rsid w:val="006852E3"/>
    <w:rsid w:val="00685B8E"/>
    <w:rsid w:val="006A2621"/>
    <w:rsid w:val="006A6E0B"/>
    <w:rsid w:val="006A6E0E"/>
    <w:rsid w:val="006A77C9"/>
    <w:rsid w:val="006B09AE"/>
    <w:rsid w:val="006B4B51"/>
    <w:rsid w:val="006B58DC"/>
    <w:rsid w:val="006B5B5F"/>
    <w:rsid w:val="006B79D9"/>
    <w:rsid w:val="006C08AC"/>
    <w:rsid w:val="006C38D0"/>
    <w:rsid w:val="006D0B2E"/>
    <w:rsid w:val="006D1DEB"/>
    <w:rsid w:val="006D4DA0"/>
    <w:rsid w:val="006E1574"/>
    <w:rsid w:val="006E20C3"/>
    <w:rsid w:val="006E2305"/>
    <w:rsid w:val="006E7F25"/>
    <w:rsid w:val="006F237D"/>
    <w:rsid w:val="006F554B"/>
    <w:rsid w:val="00701C8B"/>
    <w:rsid w:val="007038B4"/>
    <w:rsid w:val="00710B1D"/>
    <w:rsid w:val="007115F5"/>
    <w:rsid w:val="00713414"/>
    <w:rsid w:val="00715069"/>
    <w:rsid w:val="00717BB5"/>
    <w:rsid w:val="0072348B"/>
    <w:rsid w:val="00723F95"/>
    <w:rsid w:val="00724168"/>
    <w:rsid w:val="00726164"/>
    <w:rsid w:val="00727ABB"/>
    <w:rsid w:val="00730B6B"/>
    <w:rsid w:val="00730FE4"/>
    <w:rsid w:val="00733DF2"/>
    <w:rsid w:val="00734EC0"/>
    <w:rsid w:val="00736709"/>
    <w:rsid w:val="00736A30"/>
    <w:rsid w:val="007425D4"/>
    <w:rsid w:val="0074461A"/>
    <w:rsid w:val="00747181"/>
    <w:rsid w:val="00750552"/>
    <w:rsid w:val="00751A50"/>
    <w:rsid w:val="0075229F"/>
    <w:rsid w:val="007529F5"/>
    <w:rsid w:val="00754E02"/>
    <w:rsid w:val="00760A58"/>
    <w:rsid w:val="00764687"/>
    <w:rsid w:val="0076546E"/>
    <w:rsid w:val="00765DFE"/>
    <w:rsid w:val="00771005"/>
    <w:rsid w:val="007717AC"/>
    <w:rsid w:val="00772017"/>
    <w:rsid w:val="00773C59"/>
    <w:rsid w:val="007760D6"/>
    <w:rsid w:val="007772CF"/>
    <w:rsid w:val="0077769A"/>
    <w:rsid w:val="00780C40"/>
    <w:rsid w:val="00781CA7"/>
    <w:rsid w:val="00783CB0"/>
    <w:rsid w:val="007862BE"/>
    <w:rsid w:val="0078687C"/>
    <w:rsid w:val="00787C55"/>
    <w:rsid w:val="00790FEC"/>
    <w:rsid w:val="00791E07"/>
    <w:rsid w:val="00792033"/>
    <w:rsid w:val="00795D7C"/>
    <w:rsid w:val="007A0C2D"/>
    <w:rsid w:val="007A0FD5"/>
    <w:rsid w:val="007A1246"/>
    <w:rsid w:val="007A6E19"/>
    <w:rsid w:val="007B12BE"/>
    <w:rsid w:val="007B33C0"/>
    <w:rsid w:val="007B5EF4"/>
    <w:rsid w:val="007B6046"/>
    <w:rsid w:val="007C246D"/>
    <w:rsid w:val="007C3D83"/>
    <w:rsid w:val="007C56E1"/>
    <w:rsid w:val="007C6B00"/>
    <w:rsid w:val="007D2AD0"/>
    <w:rsid w:val="007D5390"/>
    <w:rsid w:val="007E2C75"/>
    <w:rsid w:val="007E4163"/>
    <w:rsid w:val="007E6135"/>
    <w:rsid w:val="007E70CC"/>
    <w:rsid w:val="007E72FE"/>
    <w:rsid w:val="007F0E9E"/>
    <w:rsid w:val="007F2BFA"/>
    <w:rsid w:val="007F5259"/>
    <w:rsid w:val="00802570"/>
    <w:rsid w:val="0080379D"/>
    <w:rsid w:val="00816B50"/>
    <w:rsid w:val="008237C4"/>
    <w:rsid w:val="008318EE"/>
    <w:rsid w:val="00840BFC"/>
    <w:rsid w:val="00841321"/>
    <w:rsid w:val="00841613"/>
    <w:rsid w:val="00843F3F"/>
    <w:rsid w:val="00852627"/>
    <w:rsid w:val="00854E58"/>
    <w:rsid w:val="00856491"/>
    <w:rsid w:val="0085747A"/>
    <w:rsid w:val="00862CE8"/>
    <w:rsid w:val="00863A6C"/>
    <w:rsid w:val="008665C0"/>
    <w:rsid w:val="00870347"/>
    <w:rsid w:val="00874D7D"/>
    <w:rsid w:val="008809EC"/>
    <w:rsid w:val="00880C57"/>
    <w:rsid w:val="008812DF"/>
    <w:rsid w:val="00884D15"/>
    <w:rsid w:val="00886131"/>
    <w:rsid w:val="008906E6"/>
    <w:rsid w:val="008917B5"/>
    <w:rsid w:val="00892C22"/>
    <w:rsid w:val="00893712"/>
    <w:rsid w:val="00895833"/>
    <w:rsid w:val="008A0086"/>
    <w:rsid w:val="008A1375"/>
    <w:rsid w:val="008A379E"/>
    <w:rsid w:val="008A6974"/>
    <w:rsid w:val="008B153E"/>
    <w:rsid w:val="008B1DD0"/>
    <w:rsid w:val="008B2EEA"/>
    <w:rsid w:val="008C1A01"/>
    <w:rsid w:val="008C1E22"/>
    <w:rsid w:val="008C67FC"/>
    <w:rsid w:val="008E1650"/>
    <w:rsid w:val="008E2C3F"/>
    <w:rsid w:val="008E7D2B"/>
    <w:rsid w:val="008F0592"/>
    <w:rsid w:val="008F3141"/>
    <w:rsid w:val="008F50BF"/>
    <w:rsid w:val="00900F30"/>
    <w:rsid w:val="00903A5F"/>
    <w:rsid w:val="009131AF"/>
    <w:rsid w:val="00913B87"/>
    <w:rsid w:val="00914376"/>
    <w:rsid w:val="0092499A"/>
    <w:rsid w:val="00927615"/>
    <w:rsid w:val="00935C7F"/>
    <w:rsid w:val="00943205"/>
    <w:rsid w:val="00944D2A"/>
    <w:rsid w:val="009522C3"/>
    <w:rsid w:val="00961FC9"/>
    <w:rsid w:val="0096263D"/>
    <w:rsid w:val="00962CF1"/>
    <w:rsid w:val="009658D4"/>
    <w:rsid w:val="009673C8"/>
    <w:rsid w:val="009677DA"/>
    <w:rsid w:val="009708FA"/>
    <w:rsid w:val="0097705F"/>
    <w:rsid w:val="00980123"/>
    <w:rsid w:val="00981191"/>
    <w:rsid w:val="00987B2B"/>
    <w:rsid w:val="0099030F"/>
    <w:rsid w:val="00991C4D"/>
    <w:rsid w:val="00991E8D"/>
    <w:rsid w:val="00993E47"/>
    <w:rsid w:val="0099701E"/>
    <w:rsid w:val="009A050D"/>
    <w:rsid w:val="009A36AD"/>
    <w:rsid w:val="009A79F3"/>
    <w:rsid w:val="009B53E9"/>
    <w:rsid w:val="009B629B"/>
    <w:rsid w:val="009C1DA7"/>
    <w:rsid w:val="009C58E1"/>
    <w:rsid w:val="009D40A3"/>
    <w:rsid w:val="009E0050"/>
    <w:rsid w:val="009E03E2"/>
    <w:rsid w:val="009E3A86"/>
    <w:rsid w:val="009E41D1"/>
    <w:rsid w:val="009E4C5F"/>
    <w:rsid w:val="009E76DF"/>
    <w:rsid w:val="009F3382"/>
    <w:rsid w:val="00A048BA"/>
    <w:rsid w:val="00A0678F"/>
    <w:rsid w:val="00A20794"/>
    <w:rsid w:val="00A215A0"/>
    <w:rsid w:val="00A21EDF"/>
    <w:rsid w:val="00A2400E"/>
    <w:rsid w:val="00A31817"/>
    <w:rsid w:val="00A34BBA"/>
    <w:rsid w:val="00A35332"/>
    <w:rsid w:val="00A42092"/>
    <w:rsid w:val="00A562EE"/>
    <w:rsid w:val="00A65780"/>
    <w:rsid w:val="00A669FD"/>
    <w:rsid w:val="00A7204B"/>
    <w:rsid w:val="00A848CB"/>
    <w:rsid w:val="00A851B8"/>
    <w:rsid w:val="00A86835"/>
    <w:rsid w:val="00A8727E"/>
    <w:rsid w:val="00A873A8"/>
    <w:rsid w:val="00A8753D"/>
    <w:rsid w:val="00A9135B"/>
    <w:rsid w:val="00A96A62"/>
    <w:rsid w:val="00A97853"/>
    <w:rsid w:val="00AA0667"/>
    <w:rsid w:val="00AA24B8"/>
    <w:rsid w:val="00AA3001"/>
    <w:rsid w:val="00AA4184"/>
    <w:rsid w:val="00AA5EC0"/>
    <w:rsid w:val="00AA7632"/>
    <w:rsid w:val="00AB0EB7"/>
    <w:rsid w:val="00AB1410"/>
    <w:rsid w:val="00AB4F68"/>
    <w:rsid w:val="00AB750F"/>
    <w:rsid w:val="00AC00F1"/>
    <w:rsid w:val="00AC1C30"/>
    <w:rsid w:val="00AC236B"/>
    <w:rsid w:val="00AC6FCD"/>
    <w:rsid w:val="00AC7C89"/>
    <w:rsid w:val="00AD0AEF"/>
    <w:rsid w:val="00AD25F8"/>
    <w:rsid w:val="00AD2A32"/>
    <w:rsid w:val="00AD3B0E"/>
    <w:rsid w:val="00AD500C"/>
    <w:rsid w:val="00AD7EAF"/>
    <w:rsid w:val="00AE07EE"/>
    <w:rsid w:val="00AE0F6A"/>
    <w:rsid w:val="00AE7CFC"/>
    <w:rsid w:val="00AF0062"/>
    <w:rsid w:val="00AF0E35"/>
    <w:rsid w:val="00AF45A6"/>
    <w:rsid w:val="00AF6875"/>
    <w:rsid w:val="00AF74E9"/>
    <w:rsid w:val="00AF7A6C"/>
    <w:rsid w:val="00B01317"/>
    <w:rsid w:val="00B01D07"/>
    <w:rsid w:val="00B0317D"/>
    <w:rsid w:val="00B031AA"/>
    <w:rsid w:val="00B064D9"/>
    <w:rsid w:val="00B06F9E"/>
    <w:rsid w:val="00B110B9"/>
    <w:rsid w:val="00B1272E"/>
    <w:rsid w:val="00B1509E"/>
    <w:rsid w:val="00B17BCB"/>
    <w:rsid w:val="00B220C5"/>
    <w:rsid w:val="00B307D6"/>
    <w:rsid w:val="00B31F60"/>
    <w:rsid w:val="00B35418"/>
    <w:rsid w:val="00B37566"/>
    <w:rsid w:val="00B40314"/>
    <w:rsid w:val="00B40E46"/>
    <w:rsid w:val="00B4469F"/>
    <w:rsid w:val="00B44E42"/>
    <w:rsid w:val="00B601D1"/>
    <w:rsid w:val="00B62BEF"/>
    <w:rsid w:val="00B62E76"/>
    <w:rsid w:val="00B65B47"/>
    <w:rsid w:val="00B70823"/>
    <w:rsid w:val="00B72857"/>
    <w:rsid w:val="00B72E7F"/>
    <w:rsid w:val="00B73219"/>
    <w:rsid w:val="00B745A6"/>
    <w:rsid w:val="00B7654E"/>
    <w:rsid w:val="00B903B7"/>
    <w:rsid w:val="00B9129C"/>
    <w:rsid w:val="00B9181B"/>
    <w:rsid w:val="00B91F75"/>
    <w:rsid w:val="00B9751C"/>
    <w:rsid w:val="00BA1915"/>
    <w:rsid w:val="00BB1E82"/>
    <w:rsid w:val="00BB2146"/>
    <w:rsid w:val="00BB629E"/>
    <w:rsid w:val="00BB6E73"/>
    <w:rsid w:val="00BB753C"/>
    <w:rsid w:val="00BC0DFA"/>
    <w:rsid w:val="00BC119D"/>
    <w:rsid w:val="00BC1698"/>
    <w:rsid w:val="00BC429F"/>
    <w:rsid w:val="00BD1D0D"/>
    <w:rsid w:val="00BD3C00"/>
    <w:rsid w:val="00BD57F9"/>
    <w:rsid w:val="00BE127A"/>
    <w:rsid w:val="00BE2566"/>
    <w:rsid w:val="00BE6BD2"/>
    <w:rsid w:val="00BF03C9"/>
    <w:rsid w:val="00BF079A"/>
    <w:rsid w:val="00BF53C2"/>
    <w:rsid w:val="00C04E78"/>
    <w:rsid w:val="00C06731"/>
    <w:rsid w:val="00C1146D"/>
    <w:rsid w:val="00C11B0B"/>
    <w:rsid w:val="00C20612"/>
    <w:rsid w:val="00C2378B"/>
    <w:rsid w:val="00C2538A"/>
    <w:rsid w:val="00C26904"/>
    <w:rsid w:val="00C3392E"/>
    <w:rsid w:val="00C3596F"/>
    <w:rsid w:val="00C36E33"/>
    <w:rsid w:val="00C423CE"/>
    <w:rsid w:val="00C473A8"/>
    <w:rsid w:val="00C538B9"/>
    <w:rsid w:val="00C55D37"/>
    <w:rsid w:val="00C7069C"/>
    <w:rsid w:val="00C71809"/>
    <w:rsid w:val="00C71E46"/>
    <w:rsid w:val="00C71FD3"/>
    <w:rsid w:val="00C74E89"/>
    <w:rsid w:val="00C814D7"/>
    <w:rsid w:val="00C84AB7"/>
    <w:rsid w:val="00C934B3"/>
    <w:rsid w:val="00C94BF7"/>
    <w:rsid w:val="00CA2C3C"/>
    <w:rsid w:val="00CA7659"/>
    <w:rsid w:val="00CB07A1"/>
    <w:rsid w:val="00CB15FA"/>
    <w:rsid w:val="00CB22F2"/>
    <w:rsid w:val="00CB39C5"/>
    <w:rsid w:val="00CB520C"/>
    <w:rsid w:val="00CB6B81"/>
    <w:rsid w:val="00CB7172"/>
    <w:rsid w:val="00CC0025"/>
    <w:rsid w:val="00CC2FDD"/>
    <w:rsid w:val="00CC553B"/>
    <w:rsid w:val="00CD161A"/>
    <w:rsid w:val="00CD297A"/>
    <w:rsid w:val="00CD46E8"/>
    <w:rsid w:val="00CE1938"/>
    <w:rsid w:val="00CE5191"/>
    <w:rsid w:val="00CF4D60"/>
    <w:rsid w:val="00CF55E0"/>
    <w:rsid w:val="00D0512F"/>
    <w:rsid w:val="00D0731D"/>
    <w:rsid w:val="00D07738"/>
    <w:rsid w:val="00D14B16"/>
    <w:rsid w:val="00D1594E"/>
    <w:rsid w:val="00D16A68"/>
    <w:rsid w:val="00D17EC6"/>
    <w:rsid w:val="00D246AF"/>
    <w:rsid w:val="00D25128"/>
    <w:rsid w:val="00D31418"/>
    <w:rsid w:val="00D32B53"/>
    <w:rsid w:val="00D37FAC"/>
    <w:rsid w:val="00D40993"/>
    <w:rsid w:val="00D45D32"/>
    <w:rsid w:val="00D53082"/>
    <w:rsid w:val="00D544FC"/>
    <w:rsid w:val="00D608BF"/>
    <w:rsid w:val="00D616F8"/>
    <w:rsid w:val="00D62BF3"/>
    <w:rsid w:val="00D63EDA"/>
    <w:rsid w:val="00D64946"/>
    <w:rsid w:val="00D70527"/>
    <w:rsid w:val="00D738F0"/>
    <w:rsid w:val="00D75098"/>
    <w:rsid w:val="00D84A4A"/>
    <w:rsid w:val="00D85AF2"/>
    <w:rsid w:val="00D8737C"/>
    <w:rsid w:val="00D91F5C"/>
    <w:rsid w:val="00D9207E"/>
    <w:rsid w:val="00D9506A"/>
    <w:rsid w:val="00D967D9"/>
    <w:rsid w:val="00D96F7E"/>
    <w:rsid w:val="00DA008A"/>
    <w:rsid w:val="00DB1DE7"/>
    <w:rsid w:val="00DB3743"/>
    <w:rsid w:val="00DB7C0E"/>
    <w:rsid w:val="00DC1A8A"/>
    <w:rsid w:val="00DC3044"/>
    <w:rsid w:val="00DD6298"/>
    <w:rsid w:val="00DE08AE"/>
    <w:rsid w:val="00DF28F6"/>
    <w:rsid w:val="00DF467D"/>
    <w:rsid w:val="00DF47BB"/>
    <w:rsid w:val="00E03245"/>
    <w:rsid w:val="00E04CD2"/>
    <w:rsid w:val="00E0730B"/>
    <w:rsid w:val="00E100DF"/>
    <w:rsid w:val="00E12DDE"/>
    <w:rsid w:val="00E15CFA"/>
    <w:rsid w:val="00E20157"/>
    <w:rsid w:val="00E20D4B"/>
    <w:rsid w:val="00E2279A"/>
    <w:rsid w:val="00E22B17"/>
    <w:rsid w:val="00E22D98"/>
    <w:rsid w:val="00E23749"/>
    <w:rsid w:val="00E2546F"/>
    <w:rsid w:val="00E274AA"/>
    <w:rsid w:val="00E32A53"/>
    <w:rsid w:val="00E33643"/>
    <w:rsid w:val="00E3584F"/>
    <w:rsid w:val="00E359B2"/>
    <w:rsid w:val="00E411A3"/>
    <w:rsid w:val="00E465B6"/>
    <w:rsid w:val="00E56BD0"/>
    <w:rsid w:val="00E60550"/>
    <w:rsid w:val="00E61EFA"/>
    <w:rsid w:val="00E627E5"/>
    <w:rsid w:val="00E66D9D"/>
    <w:rsid w:val="00E7086B"/>
    <w:rsid w:val="00E71A86"/>
    <w:rsid w:val="00E7374E"/>
    <w:rsid w:val="00E86942"/>
    <w:rsid w:val="00E87781"/>
    <w:rsid w:val="00E903FA"/>
    <w:rsid w:val="00E94C2F"/>
    <w:rsid w:val="00E94FC7"/>
    <w:rsid w:val="00E97AC8"/>
    <w:rsid w:val="00E97B5B"/>
    <w:rsid w:val="00EA026C"/>
    <w:rsid w:val="00EA0F61"/>
    <w:rsid w:val="00EA7ED0"/>
    <w:rsid w:val="00EB190F"/>
    <w:rsid w:val="00EB7D37"/>
    <w:rsid w:val="00EC4A57"/>
    <w:rsid w:val="00EC53D4"/>
    <w:rsid w:val="00EC5925"/>
    <w:rsid w:val="00EC6A31"/>
    <w:rsid w:val="00EC7541"/>
    <w:rsid w:val="00EC7E94"/>
    <w:rsid w:val="00ED354E"/>
    <w:rsid w:val="00ED50B1"/>
    <w:rsid w:val="00ED78A9"/>
    <w:rsid w:val="00EE325C"/>
    <w:rsid w:val="00EE6D0B"/>
    <w:rsid w:val="00EF0B78"/>
    <w:rsid w:val="00EF2DD1"/>
    <w:rsid w:val="00EF3DD7"/>
    <w:rsid w:val="00EF4667"/>
    <w:rsid w:val="00EF5D5D"/>
    <w:rsid w:val="00EF6387"/>
    <w:rsid w:val="00F06813"/>
    <w:rsid w:val="00F06C92"/>
    <w:rsid w:val="00F06D0F"/>
    <w:rsid w:val="00F1389A"/>
    <w:rsid w:val="00F14AF2"/>
    <w:rsid w:val="00F16DBC"/>
    <w:rsid w:val="00F22090"/>
    <w:rsid w:val="00F22662"/>
    <w:rsid w:val="00F2283C"/>
    <w:rsid w:val="00F2385E"/>
    <w:rsid w:val="00F27AE5"/>
    <w:rsid w:val="00F300F9"/>
    <w:rsid w:val="00F309E0"/>
    <w:rsid w:val="00F33105"/>
    <w:rsid w:val="00F34DAF"/>
    <w:rsid w:val="00F37173"/>
    <w:rsid w:val="00F44086"/>
    <w:rsid w:val="00F45C04"/>
    <w:rsid w:val="00F46BBF"/>
    <w:rsid w:val="00F47CEA"/>
    <w:rsid w:val="00F568B0"/>
    <w:rsid w:val="00F61A1F"/>
    <w:rsid w:val="00F63D35"/>
    <w:rsid w:val="00F64B28"/>
    <w:rsid w:val="00F672FE"/>
    <w:rsid w:val="00F709DD"/>
    <w:rsid w:val="00F70DEA"/>
    <w:rsid w:val="00F71B06"/>
    <w:rsid w:val="00F74C04"/>
    <w:rsid w:val="00F8535C"/>
    <w:rsid w:val="00F94C39"/>
    <w:rsid w:val="00F967EE"/>
    <w:rsid w:val="00F969DA"/>
    <w:rsid w:val="00FA6057"/>
    <w:rsid w:val="00FB2092"/>
    <w:rsid w:val="00FB2189"/>
    <w:rsid w:val="00FB4307"/>
    <w:rsid w:val="00FB5A08"/>
    <w:rsid w:val="00FC3522"/>
    <w:rsid w:val="00FC66EB"/>
    <w:rsid w:val="00FD0F2C"/>
    <w:rsid w:val="00FD15E5"/>
    <w:rsid w:val="00FD43A1"/>
    <w:rsid w:val="00FE1F16"/>
    <w:rsid w:val="00FE2414"/>
    <w:rsid w:val="00FE5624"/>
    <w:rsid w:val="00FF07F7"/>
    <w:rsid w:val="00FF221F"/>
    <w:rsid w:val="00FF39D9"/>
    <w:rsid w:val="00FF487B"/>
    <w:rsid w:val="00FF568D"/>
    <w:rsid w:val="3A175380"/>
    <w:rsid w:val="70BD1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360" w:lineRule="auto"/>
      <w:jc w:val="center"/>
      <w:outlineLvl w:val="1"/>
    </w:pPr>
    <w:rPr>
      <w:rFonts w:ascii="黑体" w:hAnsi="黑体" w:eastAsia="黑体"/>
      <w:b/>
      <w:bCs/>
      <w:kern w:val="0"/>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2"/>
    <w:qFormat/>
    <w:uiPriority w:val="9"/>
    <w:rPr>
      <w:rFonts w:ascii="黑体" w:hAnsi="黑体" w:eastAsia="黑体" w:cs="Times New Roman"/>
      <w:b/>
      <w:bCs/>
      <w:kern w:val="0"/>
      <w:sz w:val="32"/>
      <w:szCs w:val="32"/>
    </w:rPr>
  </w:style>
  <w:style w:type="character" w:customStyle="1" w:styleId="14">
    <w:name w:val="批注文字 Char"/>
    <w:basedOn w:val="9"/>
    <w:link w:val="3"/>
    <w:semiHidden/>
    <w:qFormat/>
    <w:uiPriority w:val="99"/>
    <w:rPr>
      <w:rFonts w:ascii="Calibri" w:hAnsi="Calibri" w:eastAsia="宋体" w:cs="Times New Roman"/>
    </w:rPr>
  </w:style>
  <w:style w:type="character" w:customStyle="1" w:styleId="15">
    <w:name w:val="批注框文本 Char"/>
    <w:basedOn w:val="9"/>
    <w:link w:val="4"/>
    <w:semiHidden/>
    <w:qFormat/>
    <w:uiPriority w:val="99"/>
    <w:rPr>
      <w:rFonts w:ascii="Calibri" w:hAnsi="Calibri" w:eastAsia="宋体" w:cs="Times New Roman"/>
      <w:sz w:val="18"/>
      <w:szCs w:val="18"/>
    </w:rPr>
  </w:style>
  <w:style w:type="paragraph" w:customStyle="1" w:styleId="16">
    <w:name w:val="办法正文"/>
    <w:basedOn w:val="1"/>
    <w:qFormat/>
    <w:uiPriority w:val="0"/>
    <w:pPr>
      <w:spacing w:beforeLines="50" w:afterLines="50" w:line="300" w:lineRule="auto"/>
      <w:jc w:val="left"/>
    </w:pPr>
    <w:rPr>
      <w:rFonts w:ascii="Times New Roman" w:hAnsi="Times New Roman" w:eastAsia="仿宋_GB2312"/>
      <w:sz w:val="24"/>
      <w:szCs w:val="24"/>
    </w:rPr>
  </w:style>
  <w:style w:type="paragraph" w:styleId="1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1889</Words>
  <Characters>1917</Characters>
  <Lines>14</Lines>
  <Paragraphs>3</Paragraphs>
  <TotalTime>1</TotalTime>
  <ScaleCrop>false</ScaleCrop>
  <LinksUpToDate>false</LinksUpToDate>
  <CharactersWithSpaces>2020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2016-07-06T10:07:00Z</dcterms:created>
  <dc:creator>赵首辰</dc:creator>
  <cp:lastModifiedBy>贾佳</cp:lastModifiedBy>
  <cp:lastPrinted>2016-07-06T10:15:00Z</cp:lastPrinted>
  <dcterms:modified xsi:type="dcterms:W3CDTF">2022-05-05T08:38:50Z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96053CB3B341476B8EBA20E5AD30DA6A</vt:lpwstr>
  </property>
</Properties>
</file>